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4" w:rsidRPr="00975E75" w:rsidRDefault="00F86AB6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bookmarkStart w:id="0" w:name="_GoBack"/>
      <w:bookmarkEnd w:id="0"/>
      <w:r>
        <w:rPr>
          <w:rFonts w:eastAsia="Times New Roman" w:cstheme="minorHAnsi"/>
          <w:noProof/>
          <w:color w:val="000000" w:themeColor="text1"/>
          <w:bdr w:val="none" w:sz="0" w:space="0" w:color="auto" w:frame="1"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13970</wp:posOffset>
            </wp:positionV>
            <wp:extent cx="2095500" cy="759404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Lunch 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5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E75" w:rsidRPr="00975E75">
        <w:rPr>
          <w:rFonts w:eastAsia="Times New Roman" w:cstheme="minorHAnsi"/>
          <w:noProof/>
          <w:color w:val="000000" w:themeColor="text1"/>
          <w:lang w:eastAsia="hr-HR"/>
        </w:rPr>
        <w:drawing>
          <wp:anchor distT="0" distB="0" distL="114300" distR="114300" simplePos="0" relativeHeight="251661312" behindDoc="0" locked="0" layoutInCell="1" allowOverlap="1" wp14:anchorId="5963A86D" wp14:editId="5F41443F">
            <wp:simplePos x="0" y="0"/>
            <wp:positionH relativeFrom="column">
              <wp:posOffset>2233930</wp:posOffset>
            </wp:positionH>
            <wp:positionV relativeFrom="paragraph">
              <wp:posOffset>-63500</wp:posOffset>
            </wp:positionV>
            <wp:extent cx="1114425" cy="80899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d identitet cmyk-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5" t="32099" r="23986" b="30511"/>
                    <a:stretch/>
                  </pic:blipFill>
                  <pic:spPr bwMode="auto">
                    <a:xfrm>
                      <a:off x="0" y="0"/>
                      <a:ext cx="1114425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155" w:rsidRPr="00975E75">
        <w:rPr>
          <w:rFonts w:eastAsia="Times New Roman" w:cstheme="minorHAnsi"/>
          <w:noProof/>
          <w:color w:val="000000" w:themeColor="text1"/>
          <w:bdr w:val="none" w:sz="0" w:space="0" w:color="auto" w:frame="1"/>
          <w:lang w:eastAsia="hr-HR"/>
        </w:rPr>
        <w:drawing>
          <wp:anchor distT="0" distB="0" distL="114300" distR="114300" simplePos="0" relativeHeight="251663360" behindDoc="0" locked="0" layoutInCell="1" allowOverlap="1" wp14:anchorId="0AC627CC" wp14:editId="6EF184D0">
            <wp:simplePos x="0" y="0"/>
            <wp:positionH relativeFrom="column">
              <wp:posOffset>3667125</wp:posOffset>
            </wp:positionH>
            <wp:positionV relativeFrom="paragraph">
              <wp:posOffset>-3810</wp:posOffset>
            </wp:positionV>
            <wp:extent cx="762000" cy="876300"/>
            <wp:effectExtent l="0" t="0" r="0" b="0"/>
            <wp:wrapNone/>
            <wp:docPr id="2" name="Slika 2" descr="mt_igno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t_igno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155" w:rsidRPr="00975E75">
        <w:rPr>
          <w:rFonts w:eastAsia="Times New Roman" w:cstheme="minorHAnsi"/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EDF22" wp14:editId="4F72C709">
                <wp:simplePos x="0" y="0"/>
                <wp:positionH relativeFrom="column">
                  <wp:posOffset>733425</wp:posOffset>
                </wp:positionH>
                <wp:positionV relativeFrom="paragraph">
                  <wp:posOffset>-3810</wp:posOffset>
                </wp:positionV>
                <wp:extent cx="1676400" cy="600164"/>
                <wp:effectExtent l="0" t="0" r="0" b="0"/>
                <wp:wrapNone/>
                <wp:docPr id="48" name="TekstniOkvi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A80" w:rsidRPr="00020A80" w:rsidRDefault="00020A80" w:rsidP="00020A8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020A8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18"/>
                              </w:rPr>
                              <w:t>EUROPSKA UNIJA</w:t>
                            </w:r>
                          </w:p>
                          <w:p w:rsidR="00020A80" w:rsidRPr="00020A80" w:rsidRDefault="00020A80" w:rsidP="00020A8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020A8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18"/>
                              </w:rPr>
                              <w:t>Fond europske pomoći za najpotrebitije (FEAD)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36EDF22" id="_x0000_t202" coordsize="21600,21600" o:spt="202" path="m,l,21600r21600,l21600,xe">
                <v:stroke joinstyle="miter"/>
                <v:path gradientshapeok="t" o:connecttype="rect"/>
              </v:shapetype>
              <v:shape id="TekstniOkvir 47" o:spid="_x0000_s1026" type="#_x0000_t202" style="position:absolute;left:0;text-align:left;margin-left:57.75pt;margin-top:-.3pt;width:132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" filled="f" stroked="f">
                <v:textbox style="mso-fit-shape-to-text:t">
                  <w:txbxContent>
                    <w:p w:rsidR="00020A80" w:rsidRPr="00020A80" w:rsidRDefault="00020A80" w:rsidP="00020A80">
                      <w:pPr>
                        <w:spacing w:after="0"/>
                        <w:rPr>
                          <w:sz w:val="18"/>
                        </w:rPr>
                      </w:pPr>
                      <w:r w:rsidRPr="00020A80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18"/>
                        </w:rPr>
                        <w:t>EUROPSKA UNIJA</w:t>
                      </w:r>
                    </w:p>
                    <w:p w:rsidR="00020A80" w:rsidRPr="00020A80" w:rsidRDefault="00020A80" w:rsidP="00020A80">
                      <w:pPr>
                        <w:spacing w:after="0"/>
                        <w:rPr>
                          <w:sz w:val="18"/>
                        </w:rPr>
                      </w:pPr>
                      <w:r w:rsidRPr="00020A80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18"/>
                        </w:rPr>
                        <w:t>Fond europske pomoći za najpotrebitije (FEAD)</w:t>
                      </w:r>
                    </w:p>
                  </w:txbxContent>
                </v:textbox>
              </v:shape>
            </w:pict>
          </mc:Fallback>
        </mc:AlternateContent>
      </w:r>
      <w:r w:rsidR="00C27155" w:rsidRPr="00975E75">
        <w:rPr>
          <w:rFonts w:eastAsia="Times New Roman" w:cstheme="minorHAnsi"/>
          <w:noProof/>
          <w:color w:val="000000" w:themeColor="text1"/>
          <w:lang w:eastAsia="hr-HR"/>
        </w:rPr>
        <w:drawing>
          <wp:anchor distT="0" distB="0" distL="114300" distR="114300" simplePos="0" relativeHeight="251667456" behindDoc="0" locked="0" layoutInCell="1" allowOverlap="1" wp14:anchorId="014A7A24" wp14:editId="213C70B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12199" cy="542820"/>
            <wp:effectExtent l="0" t="0" r="6985" b="0"/>
            <wp:wrapNone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99" cy="5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CD4" w:rsidRPr="00975E75" w:rsidRDefault="002B5CD4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2B5CD4" w:rsidRPr="00975E75" w:rsidRDefault="002B5CD4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FA3432" w:rsidRPr="00975E75" w:rsidRDefault="00FA3432" w:rsidP="006334AE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br/>
      </w:r>
    </w:p>
    <w:p w:rsidR="002B5CD4" w:rsidRPr="00975E75" w:rsidRDefault="00C27155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89535</wp:posOffset>
                </wp:positionV>
                <wp:extent cx="1504950" cy="219075"/>
                <wp:effectExtent l="0" t="0" r="0" b="952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432" w:rsidRDefault="00FA3432">
                            <w:r w:rsidRPr="001E33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hr-HR"/>
                              </w:rPr>
                              <w:t>Grad Slavonski Brod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ni okvir 7" o:spid="_x0000_s1027" type="#_x0000_t202" style="position:absolute;left:0;text-align:left;margin-left:264.75pt;margin-top:7.05pt;width:118.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" fillcolor="white [3201]" stroked="f" strokeweight=".5pt">
                <v:textbox>
                  <w:txbxContent>
                    <w:p w:rsidR="00FA3432" w:rsidRDefault="00FA3432">
                      <w:r w:rsidRPr="001E338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hr-HR"/>
                        </w:rPr>
                        <w:t>Grad Slavonski Brod</w:t>
                      </w:r>
                    </w:p>
                  </w:txbxContent>
                </v:textbox>
              </v:shape>
            </w:pict>
          </mc:Fallback>
        </mc:AlternateContent>
      </w:r>
    </w:p>
    <w:p w:rsidR="006334AE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6334AE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C27155" w:rsidRPr="00975E75" w:rsidRDefault="00C27155" w:rsidP="00C27155">
      <w:pPr>
        <w:spacing w:line="240" w:lineRule="auto"/>
        <w:jc w:val="both"/>
        <w:rPr>
          <w:rFonts w:cstheme="minorHAnsi"/>
          <w:color w:val="000000" w:themeColor="text1"/>
        </w:rPr>
      </w:pPr>
      <w:r w:rsidRPr="00975E75">
        <w:rPr>
          <w:rFonts w:cstheme="minorHAnsi"/>
          <w:color w:val="000000" w:themeColor="text1"/>
        </w:rPr>
        <w:t>Na temelju članka 118. Zakona o odgoju i obrazovanju u osnovnoj i srednjoj školi (NN br.87/08.,86/09.,92/10.,105/10.,90/11.,5/12.,16/12.,86/12.,126/12., 94/13, 152/14 i 7/17), te</w:t>
      </w:r>
      <w:r w:rsidR="009F698B">
        <w:rPr>
          <w:rFonts w:cstheme="minorHAnsi"/>
          <w:color w:val="000000" w:themeColor="text1"/>
        </w:rPr>
        <w:t xml:space="preserve"> članak 78.</w:t>
      </w:r>
      <w:r w:rsidRPr="00975E75">
        <w:rPr>
          <w:rFonts w:cstheme="minorHAnsi"/>
          <w:color w:val="000000" w:themeColor="text1"/>
        </w:rPr>
        <w:t xml:space="preserve"> Osnovne škole</w:t>
      </w:r>
      <w:r w:rsidR="009F698B">
        <w:rPr>
          <w:rFonts w:cstheme="minorHAnsi"/>
          <w:color w:val="000000" w:themeColor="text1"/>
        </w:rPr>
        <w:t>“Vladimir Nazor“</w:t>
      </w:r>
      <w:r w:rsidRPr="00975E75">
        <w:rPr>
          <w:rFonts w:cstheme="minorHAnsi"/>
          <w:color w:val="000000" w:themeColor="text1"/>
        </w:rPr>
        <w:t xml:space="preserve">, Školski odbor je na svojoj sjednici, održanoj </w:t>
      </w:r>
      <w:r w:rsidR="009F698B" w:rsidRPr="009F698B">
        <w:rPr>
          <w:rFonts w:cstheme="minorHAnsi"/>
          <w:color w:val="000000" w:themeColor="text1"/>
        </w:rPr>
        <w:t>6.09.</w:t>
      </w:r>
      <w:r w:rsidR="00F86AB6" w:rsidRPr="009F698B">
        <w:rPr>
          <w:rFonts w:cstheme="minorHAnsi"/>
          <w:color w:val="000000" w:themeColor="text1"/>
        </w:rPr>
        <w:t>2019</w:t>
      </w:r>
      <w:r w:rsidRPr="009F698B">
        <w:rPr>
          <w:rFonts w:cstheme="minorHAnsi"/>
          <w:color w:val="000000" w:themeColor="text1"/>
        </w:rPr>
        <w:t>. godine</w:t>
      </w:r>
      <w:r w:rsidRPr="00975E75">
        <w:rPr>
          <w:rFonts w:cstheme="minorHAnsi"/>
          <w:color w:val="000000" w:themeColor="text1"/>
        </w:rPr>
        <w:t xml:space="preserve"> donio sljedeću</w:t>
      </w:r>
    </w:p>
    <w:p w:rsidR="00F936D2" w:rsidRPr="00975E75" w:rsidRDefault="00F936D2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75E75">
        <w:rPr>
          <w:rFonts w:eastAsia="Times New Roman" w:cstheme="minorHAnsi"/>
          <w:b/>
          <w:color w:val="000000" w:themeColor="text1"/>
          <w:lang w:eastAsia="hr-HR"/>
        </w:rPr>
        <w:t>ODLUK</w:t>
      </w:r>
      <w:r w:rsidR="00434408" w:rsidRPr="00975E75">
        <w:rPr>
          <w:rFonts w:eastAsia="Times New Roman" w:cstheme="minorHAnsi"/>
          <w:b/>
          <w:color w:val="000000" w:themeColor="text1"/>
          <w:lang w:eastAsia="hr-HR"/>
        </w:rPr>
        <w:t>A</w:t>
      </w:r>
    </w:p>
    <w:p w:rsidR="00434408" w:rsidRPr="00975E75" w:rsidRDefault="00434408" w:rsidP="006334A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975E75">
        <w:rPr>
          <w:rFonts w:cstheme="minorHAnsi"/>
          <w:b/>
          <w:color w:val="000000" w:themeColor="text1"/>
        </w:rPr>
        <w:t xml:space="preserve">o kriterijima određivanja ciljnih skupina projekta </w:t>
      </w:r>
      <w:proofErr w:type="spellStart"/>
      <w:r w:rsidRPr="00975E75">
        <w:rPr>
          <w:rFonts w:cstheme="minorHAnsi"/>
          <w:b/>
          <w:color w:val="000000" w:themeColor="text1"/>
        </w:rPr>
        <w:t>Lunch</w:t>
      </w:r>
      <w:proofErr w:type="spellEnd"/>
      <w:r w:rsidRPr="00975E75">
        <w:rPr>
          <w:rFonts w:cstheme="minorHAnsi"/>
          <w:b/>
          <w:color w:val="000000" w:themeColor="text1"/>
        </w:rPr>
        <w:t xml:space="preserve"> box, faza I</w:t>
      </w:r>
      <w:r w:rsidR="00F86AB6">
        <w:rPr>
          <w:rFonts w:cstheme="minorHAnsi"/>
          <w:b/>
          <w:color w:val="000000" w:themeColor="text1"/>
        </w:rPr>
        <w:t>V</w:t>
      </w:r>
      <w:r w:rsidRPr="00975E75">
        <w:rPr>
          <w:rFonts w:cstheme="minorHAnsi"/>
          <w:b/>
          <w:color w:val="000000" w:themeColor="text1"/>
        </w:rPr>
        <w:t>.</w:t>
      </w:r>
    </w:p>
    <w:p w:rsidR="00434408" w:rsidRPr="00975E75" w:rsidRDefault="00434408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75E75">
        <w:rPr>
          <w:rFonts w:cstheme="minorHAnsi"/>
          <w:b/>
          <w:color w:val="000000" w:themeColor="text1"/>
        </w:rPr>
        <w:t>i dokumentima kojima se dokazuju isti</w:t>
      </w:r>
    </w:p>
    <w:p w:rsidR="00434408" w:rsidRPr="00975E75" w:rsidRDefault="00434408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6334AE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F936D2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75E75">
        <w:rPr>
          <w:rFonts w:eastAsia="Times New Roman" w:cstheme="minorHAnsi"/>
          <w:b/>
          <w:color w:val="000000" w:themeColor="text1"/>
          <w:lang w:eastAsia="hr-HR"/>
        </w:rPr>
        <w:t xml:space="preserve">Članak </w:t>
      </w:r>
      <w:r w:rsidR="005510D6" w:rsidRPr="00975E75">
        <w:rPr>
          <w:rFonts w:eastAsia="Times New Roman" w:cstheme="minorHAnsi"/>
          <w:b/>
          <w:color w:val="000000" w:themeColor="text1"/>
          <w:lang w:eastAsia="hr-HR"/>
        </w:rPr>
        <w:t>I.</w:t>
      </w:r>
    </w:p>
    <w:p w:rsidR="009F698B" w:rsidRDefault="00961922" w:rsidP="006E4776">
      <w:pPr>
        <w:pStyle w:val="Odlomakpopis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hr-HR"/>
        </w:rPr>
      </w:pPr>
      <w:r w:rsidRPr="006E4776">
        <w:rPr>
          <w:rFonts w:eastAsia="Times New Roman" w:cstheme="minorHAnsi"/>
          <w:color w:val="000000" w:themeColor="text1"/>
          <w:lang w:eastAsia="hr-HR"/>
        </w:rPr>
        <w:t xml:space="preserve">Školski odbor </w:t>
      </w:r>
      <w:r w:rsidRPr="009F698B">
        <w:rPr>
          <w:rFonts w:eastAsia="Times New Roman" w:cstheme="minorHAnsi"/>
          <w:color w:val="000000" w:themeColor="text1"/>
          <w:lang w:eastAsia="hr-HR"/>
        </w:rPr>
        <w:t xml:space="preserve">Osnovne škole </w:t>
      </w:r>
      <w:r w:rsidR="009F698B" w:rsidRPr="009F698B">
        <w:rPr>
          <w:rFonts w:eastAsia="Times New Roman" w:cstheme="minorHAnsi"/>
          <w:color w:val="000000" w:themeColor="text1"/>
          <w:lang w:eastAsia="hr-HR"/>
        </w:rPr>
        <w:t>„Vladimir Nazor</w:t>
      </w:r>
      <w:r w:rsidR="009F698B">
        <w:rPr>
          <w:rFonts w:eastAsia="Times New Roman" w:cstheme="minorHAnsi"/>
          <w:color w:val="000000" w:themeColor="text1"/>
          <w:lang w:eastAsia="hr-HR"/>
        </w:rPr>
        <w:t>“</w:t>
      </w:r>
    </w:p>
    <w:p w:rsidR="00E43539" w:rsidRPr="006E4776" w:rsidRDefault="00434408" w:rsidP="009F698B">
      <w:pPr>
        <w:pStyle w:val="Odlomakpopisa"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hr-HR"/>
        </w:rPr>
      </w:pPr>
      <w:r w:rsidRPr="006E4776">
        <w:rPr>
          <w:rFonts w:eastAsia="Times New Roman" w:cstheme="minorHAnsi"/>
          <w:color w:val="000000" w:themeColor="text1"/>
          <w:lang w:eastAsia="hr-HR"/>
        </w:rPr>
        <w:t>u Slavonskom Brodu</w:t>
      </w:r>
      <w:r w:rsidR="00961922" w:rsidRPr="006E4776">
        <w:rPr>
          <w:rFonts w:eastAsia="Times New Roman" w:cstheme="minorHAnsi"/>
          <w:color w:val="000000" w:themeColor="text1"/>
          <w:lang w:eastAsia="hr-HR"/>
        </w:rPr>
        <w:t xml:space="preserve"> (dalje u tekstu: Škola) utvrđuje</w:t>
      </w:r>
      <w:r w:rsidR="00E43539" w:rsidRPr="006E4776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0C5EA3" w:rsidRPr="006E4776">
        <w:rPr>
          <w:rFonts w:eastAsia="Times New Roman" w:cstheme="minorHAnsi"/>
          <w:color w:val="000000" w:themeColor="text1"/>
          <w:lang w:eastAsia="hr-HR"/>
        </w:rPr>
        <w:t xml:space="preserve">da </w:t>
      </w:r>
      <w:r w:rsidR="00E43539" w:rsidRPr="006E4776">
        <w:rPr>
          <w:rFonts w:eastAsia="Times New Roman" w:cstheme="minorHAnsi"/>
          <w:color w:val="000000" w:themeColor="text1"/>
          <w:lang w:eastAsia="hr-HR"/>
        </w:rPr>
        <w:t xml:space="preserve">sljedeći kriteriji najpravednije reflektiraju status siromaštva učenika: </w:t>
      </w:r>
    </w:p>
    <w:p w:rsidR="00975E75" w:rsidRPr="006E4776" w:rsidRDefault="006E4776" w:rsidP="006E47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  <w:r>
        <w:t>Djeca iz obitelji koje su korisnice prava na doplatak za djecu</w:t>
      </w:r>
    </w:p>
    <w:p w:rsidR="00975E75" w:rsidRDefault="006E4776" w:rsidP="006E47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</w:pPr>
      <w:r>
        <w:t>Djeca iz višečlane obitelji (obitelj s troje i više djece) - u obzir se uzimaju sva djeca koja žive u zajedničkom kućanstvu, što uključuje djecu rane i predškolske dobi, kao i polaznike osnovnog, srednjoškolskog te visokog obrazovanja</w:t>
      </w:r>
    </w:p>
    <w:p w:rsidR="006E4776" w:rsidRDefault="006E4776" w:rsidP="006E47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</w:pPr>
      <w:r>
        <w:t xml:space="preserve">Djeca iz </w:t>
      </w:r>
      <w:proofErr w:type="spellStart"/>
      <w:r>
        <w:t>jednoroditeljskih</w:t>
      </w:r>
      <w:proofErr w:type="spellEnd"/>
      <w:r>
        <w:t xml:space="preserve"> obitelji</w:t>
      </w:r>
    </w:p>
    <w:p w:rsidR="006E4776" w:rsidRDefault="006E4776" w:rsidP="006E47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</w:pPr>
      <w: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>
        <w:t>jednoroditeljskih</w:t>
      </w:r>
      <w:proofErr w:type="spellEnd"/>
      <w:r>
        <w:t xml:space="preserve"> obitelj</w:t>
      </w:r>
    </w:p>
    <w:p w:rsidR="006E4776" w:rsidRDefault="006E4776" w:rsidP="006E4776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Djeca iz obitelji koje su korisnice prava na doplatak za djecu (kriterij 1.) čine 90% ukupnog broja djece uključene u projekt. Preostalih 10% čine djeca koja pripadaju jednom od kriterija po rednim brojevima 2., 3. i 4. iz stavka (1) ovog članka. </w:t>
      </w:r>
    </w:p>
    <w:p w:rsidR="00E43539" w:rsidRPr="006E4776" w:rsidRDefault="00E43539" w:rsidP="006E4776">
      <w:pPr>
        <w:pStyle w:val="Odlomakpopis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hr-HR"/>
        </w:rPr>
      </w:pPr>
      <w:r w:rsidRPr="006E4776">
        <w:rPr>
          <w:rFonts w:eastAsia="Times New Roman" w:cstheme="minorHAnsi"/>
          <w:color w:val="000000" w:themeColor="text1"/>
          <w:lang w:eastAsia="hr-HR"/>
        </w:rPr>
        <w:t xml:space="preserve">Djeca za koju se sukladno dokaznoj dokumentaciji navedenoj pod člankom II. utvrdi da zadovoljavaju najmanje jedan od gore navedenih kriterija smatraju se djecom koja žive u siromaštvu ili u riziku od siromaštva te su definirana kao najpotrebnija za redovito primanje besplatne školske prehrane kroz projekt </w:t>
      </w:r>
      <w:proofErr w:type="spellStart"/>
      <w:r w:rsidRPr="006E4776">
        <w:rPr>
          <w:rFonts w:eastAsia="Times New Roman" w:cstheme="minorHAnsi"/>
          <w:color w:val="000000" w:themeColor="text1"/>
          <w:lang w:eastAsia="hr-HR"/>
        </w:rPr>
        <w:t>Lunch</w:t>
      </w:r>
      <w:proofErr w:type="spellEnd"/>
      <w:r w:rsidRPr="006E4776">
        <w:rPr>
          <w:rFonts w:eastAsia="Times New Roman" w:cstheme="minorHAnsi"/>
          <w:color w:val="000000" w:themeColor="text1"/>
          <w:lang w:eastAsia="hr-HR"/>
        </w:rPr>
        <w:t xml:space="preserve"> box, faza I</w:t>
      </w:r>
      <w:r w:rsidR="006E4776">
        <w:rPr>
          <w:rFonts w:eastAsia="Times New Roman" w:cstheme="minorHAnsi"/>
          <w:color w:val="000000" w:themeColor="text1"/>
          <w:lang w:eastAsia="hr-HR"/>
        </w:rPr>
        <w:t>V</w:t>
      </w:r>
      <w:r w:rsidRPr="006E4776">
        <w:rPr>
          <w:rFonts w:eastAsia="Times New Roman" w:cstheme="minorHAnsi"/>
          <w:color w:val="000000" w:themeColor="text1"/>
          <w:lang w:eastAsia="hr-HR"/>
        </w:rPr>
        <w:t>. u školskoj godini 201</w:t>
      </w:r>
      <w:r w:rsidR="006E4776">
        <w:rPr>
          <w:rFonts w:eastAsia="Times New Roman" w:cstheme="minorHAnsi"/>
          <w:color w:val="000000" w:themeColor="text1"/>
          <w:lang w:eastAsia="hr-HR"/>
        </w:rPr>
        <w:t>9</w:t>
      </w:r>
      <w:r w:rsidR="00975E75" w:rsidRPr="006E4776">
        <w:rPr>
          <w:rFonts w:eastAsia="Times New Roman" w:cstheme="minorHAnsi"/>
          <w:color w:val="000000" w:themeColor="text1"/>
          <w:lang w:eastAsia="hr-HR"/>
        </w:rPr>
        <w:t>./20</w:t>
      </w:r>
      <w:r w:rsidR="006E4776">
        <w:rPr>
          <w:rFonts w:eastAsia="Times New Roman" w:cstheme="minorHAnsi"/>
          <w:color w:val="000000" w:themeColor="text1"/>
          <w:lang w:eastAsia="hr-HR"/>
        </w:rPr>
        <w:t>20</w:t>
      </w:r>
      <w:r w:rsidRPr="006E4776">
        <w:rPr>
          <w:rFonts w:eastAsia="Times New Roman" w:cstheme="minorHAnsi"/>
          <w:color w:val="000000" w:themeColor="text1"/>
          <w:lang w:eastAsia="hr-HR"/>
        </w:rPr>
        <w:t>.</w:t>
      </w:r>
    </w:p>
    <w:p w:rsidR="0096557E" w:rsidRPr="00975E75" w:rsidRDefault="0096557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5510D6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75E75">
        <w:rPr>
          <w:rFonts w:eastAsia="Times New Roman" w:cstheme="minorHAnsi"/>
          <w:b/>
          <w:color w:val="000000" w:themeColor="text1"/>
          <w:lang w:eastAsia="hr-HR"/>
        </w:rPr>
        <w:t xml:space="preserve">Članak </w:t>
      </w:r>
      <w:r w:rsidR="005510D6" w:rsidRPr="00975E75">
        <w:rPr>
          <w:rFonts w:eastAsia="Times New Roman" w:cstheme="minorHAnsi"/>
          <w:b/>
          <w:color w:val="000000" w:themeColor="text1"/>
          <w:lang w:eastAsia="hr-HR"/>
        </w:rPr>
        <w:t>II.</w:t>
      </w:r>
    </w:p>
    <w:p w:rsidR="004F424F" w:rsidRPr="00975E75" w:rsidRDefault="004F424F" w:rsidP="005523E7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>Dokumentacija, kojom će se potkrijepiti odnosno dokazati pripadnost nekog učenika jednom od definiranih kriterija pod člankom I koji opisuju rizik siromaštva</w:t>
      </w:r>
      <w:r w:rsidRPr="00975E75">
        <w:rPr>
          <w:rFonts w:cstheme="minorHAnsi"/>
          <w:color w:val="000000" w:themeColor="text1"/>
        </w:rPr>
        <w:t>, utvrđuje se kako slijedi:</w:t>
      </w: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4879"/>
        <w:gridCol w:w="5606"/>
      </w:tblGrid>
      <w:tr w:rsidR="00975E75" w:rsidRPr="00975E75" w:rsidTr="0054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:rsidR="00975E75" w:rsidRPr="00975E75" w:rsidRDefault="00975E75" w:rsidP="00975E75">
            <w:pPr>
              <w:jc w:val="center"/>
              <w:rPr>
                <w:rFonts w:eastAsia="Times New Roman" w:cstheme="minorHAnsi"/>
                <w:color w:val="222222"/>
                <w:lang w:eastAsia="hr-HR"/>
              </w:rPr>
            </w:pPr>
            <w:r w:rsidRPr="00975E75">
              <w:rPr>
                <w:rFonts w:eastAsia="Times New Roman" w:cstheme="minorHAnsi"/>
                <w:color w:val="222222"/>
                <w:lang w:eastAsia="hr-HR"/>
              </w:rPr>
              <w:t>Kriterij isključenosti:</w:t>
            </w:r>
          </w:p>
        </w:tc>
        <w:tc>
          <w:tcPr>
            <w:tcW w:w="5606" w:type="dxa"/>
          </w:tcPr>
          <w:p w:rsidR="00975E75" w:rsidRPr="00975E75" w:rsidRDefault="00975E75" w:rsidP="00975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hr-HR"/>
              </w:rPr>
            </w:pPr>
            <w:r w:rsidRPr="00975E75">
              <w:rPr>
                <w:rFonts w:eastAsia="Times New Roman" w:cstheme="minorHAnsi"/>
                <w:color w:val="222222"/>
                <w:lang w:eastAsia="hr-HR"/>
              </w:rPr>
              <w:t>Obvezni dokazni dokumenti:</w:t>
            </w:r>
          </w:p>
        </w:tc>
      </w:tr>
      <w:tr w:rsidR="00975E75" w:rsidRPr="00975E75" w:rsidTr="00540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:rsidR="00975E75" w:rsidRPr="006E4776" w:rsidRDefault="006E4776" w:rsidP="00540AE4">
            <w:pPr>
              <w:pStyle w:val="Odlomakpopisa"/>
              <w:numPr>
                <w:ilvl w:val="0"/>
                <w:numId w:val="24"/>
              </w:numPr>
              <w:ind w:left="313" w:hanging="284"/>
              <w:jc w:val="both"/>
              <w:rPr>
                <w:rFonts w:eastAsia="Times New Roman" w:cstheme="minorHAnsi"/>
                <w:color w:val="222222"/>
                <w:lang w:eastAsia="hr-HR"/>
              </w:rPr>
            </w:pPr>
            <w:r>
              <w:rPr>
                <w:rFonts w:eastAsia="Times New Roman" w:cstheme="minorHAnsi"/>
                <w:color w:val="222222"/>
                <w:lang w:eastAsia="hr-HR"/>
              </w:rPr>
              <w:t>Djeca iz obitelji koje su korisnice prava na doplatak za djecu</w:t>
            </w:r>
          </w:p>
        </w:tc>
        <w:tc>
          <w:tcPr>
            <w:tcW w:w="5606" w:type="dxa"/>
          </w:tcPr>
          <w:p w:rsidR="00540AE4" w:rsidRDefault="00540AE4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Važeće Rješenje o priznavanju prava na doplatak za djecu </w:t>
            </w:r>
          </w:p>
          <w:p w:rsidR="00540AE4" w:rsidRPr="00540AE4" w:rsidRDefault="00540AE4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0AE4">
              <w:rPr>
                <w:b/>
              </w:rPr>
              <w:t xml:space="preserve">ili </w:t>
            </w:r>
          </w:p>
          <w:p w:rsidR="00540AE4" w:rsidRDefault="00540AE4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Potvrda o isplaćenom doplatku za djecu HZMO-a</w:t>
            </w:r>
          </w:p>
          <w:p w:rsidR="00540AE4" w:rsidRPr="00540AE4" w:rsidRDefault="00540AE4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0AE4">
              <w:rPr>
                <w:b/>
              </w:rPr>
              <w:t xml:space="preserve">ili </w:t>
            </w:r>
          </w:p>
          <w:p w:rsidR="00975E75" w:rsidRPr="006E4776" w:rsidRDefault="00540AE4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Potvrda o visini dohotka i primitka Porezne uprave iz koje je vidljiva isplata dječjeg doplatka</w:t>
            </w:r>
          </w:p>
        </w:tc>
      </w:tr>
      <w:tr w:rsidR="00975E75" w:rsidRPr="00975E75" w:rsidTr="00540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:rsidR="006E4776" w:rsidRPr="006E4776" w:rsidRDefault="006E4776" w:rsidP="00540AE4">
            <w:pPr>
              <w:pStyle w:val="Odlomakpopisa"/>
              <w:numPr>
                <w:ilvl w:val="0"/>
                <w:numId w:val="24"/>
              </w:numPr>
              <w:shd w:val="clear" w:color="auto" w:fill="FFFFFF"/>
              <w:ind w:left="313" w:hanging="284"/>
              <w:jc w:val="both"/>
            </w:pPr>
            <w:r w:rsidRPr="006E4776">
              <w:t>Djeca iz višečlane obitelji (obitelj s troje i više djece) - u obzir se uzimaju sva djeca koja žive u zajedničkom kućanstvu, što uključuje djecu rane i predškolske dobi, kao i polaznike osnovnog, srednjoškolskog te visokog obrazovanja</w:t>
            </w:r>
          </w:p>
          <w:p w:rsidR="00975E75" w:rsidRPr="00975E75" w:rsidRDefault="00975E75" w:rsidP="00540AE4">
            <w:pPr>
              <w:ind w:left="313" w:hanging="284"/>
              <w:jc w:val="both"/>
              <w:rPr>
                <w:rFonts w:eastAsia="Times New Roman" w:cstheme="minorHAnsi"/>
                <w:b w:val="0"/>
                <w:color w:val="222222"/>
                <w:lang w:eastAsia="hr-HR"/>
              </w:rPr>
            </w:pPr>
          </w:p>
        </w:tc>
        <w:tc>
          <w:tcPr>
            <w:tcW w:w="5606" w:type="dxa"/>
          </w:tcPr>
          <w:p w:rsidR="006E4776" w:rsidRP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hr-HR"/>
              </w:rPr>
            </w:pPr>
            <w:r>
              <w:t xml:space="preserve">Izjava o članovima zajedničkog kućanstva </w:t>
            </w:r>
          </w:p>
          <w:p w:rsidR="006E4776" w:rsidRP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4776">
              <w:rPr>
                <w:b/>
              </w:rPr>
              <w:t xml:space="preserve">i </w:t>
            </w:r>
          </w:p>
          <w:p w:rsid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Rodni listovi djece </w:t>
            </w:r>
          </w:p>
          <w:p w:rsidR="006E4776" w:rsidRP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4776">
              <w:rPr>
                <w:b/>
              </w:rPr>
              <w:t xml:space="preserve">ili </w:t>
            </w:r>
          </w:p>
          <w:p w:rsid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Potvrde o školovanju </w:t>
            </w:r>
          </w:p>
          <w:p w:rsidR="006E4776" w:rsidRP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4776">
              <w:rPr>
                <w:b/>
              </w:rPr>
              <w:t xml:space="preserve">ili </w:t>
            </w:r>
          </w:p>
          <w:p w:rsidR="00975E75" w:rsidRP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hr-HR"/>
              </w:rPr>
            </w:pPr>
            <w:r>
              <w:t>Potvrde o nezaposlenosti</w:t>
            </w:r>
          </w:p>
        </w:tc>
      </w:tr>
      <w:tr w:rsidR="00975E75" w:rsidRPr="00975E75" w:rsidTr="00540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:rsidR="00975E75" w:rsidRPr="006E4776" w:rsidRDefault="006E4776" w:rsidP="00540AE4">
            <w:pPr>
              <w:pStyle w:val="Odlomakpopisa"/>
              <w:numPr>
                <w:ilvl w:val="0"/>
                <w:numId w:val="24"/>
              </w:numPr>
              <w:ind w:left="313" w:hanging="284"/>
              <w:jc w:val="both"/>
              <w:rPr>
                <w:rFonts w:eastAsia="Times New Roman" w:cstheme="minorHAnsi"/>
                <w:color w:val="222222"/>
                <w:lang w:eastAsia="hr-HR"/>
              </w:rPr>
            </w:pPr>
            <w:r w:rsidRPr="006E4776">
              <w:rPr>
                <w:rFonts w:eastAsia="Times New Roman" w:cstheme="minorHAnsi"/>
                <w:color w:val="222222"/>
                <w:lang w:eastAsia="hr-HR"/>
              </w:rPr>
              <w:t xml:space="preserve">Djeca iz </w:t>
            </w:r>
            <w:proofErr w:type="spellStart"/>
            <w:r w:rsidRPr="006E4776">
              <w:rPr>
                <w:rFonts w:eastAsia="Times New Roman" w:cstheme="minorHAnsi"/>
                <w:color w:val="222222"/>
                <w:lang w:eastAsia="hr-HR"/>
              </w:rPr>
              <w:t>jednoroditeljskih</w:t>
            </w:r>
            <w:proofErr w:type="spellEnd"/>
            <w:r w:rsidRPr="006E4776">
              <w:rPr>
                <w:rFonts w:eastAsia="Times New Roman" w:cstheme="minorHAnsi"/>
                <w:color w:val="222222"/>
                <w:lang w:eastAsia="hr-HR"/>
              </w:rPr>
              <w:t xml:space="preserve"> obitelji</w:t>
            </w:r>
          </w:p>
        </w:tc>
        <w:tc>
          <w:tcPr>
            <w:tcW w:w="5606" w:type="dxa"/>
          </w:tcPr>
          <w:p w:rsid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Rodni list djeteta </w:t>
            </w:r>
          </w:p>
          <w:p w:rsidR="006E4776" w:rsidRP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776">
              <w:rPr>
                <w:b/>
              </w:rPr>
              <w:lastRenderedPageBreak/>
              <w:t xml:space="preserve">ili </w:t>
            </w:r>
          </w:p>
          <w:p w:rsid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Izvadak iz matice rođenih </w:t>
            </w:r>
          </w:p>
          <w:p w:rsidR="006E4776" w:rsidRP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776">
              <w:rPr>
                <w:b/>
              </w:rPr>
              <w:t xml:space="preserve">ili </w:t>
            </w:r>
          </w:p>
          <w:p w:rsid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Važeća Odluka suda o roditeljskoj skrbi </w:t>
            </w:r>
          </w:p>
          <w:p w:rsidR="006E4776" w:rsidRP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776">
              <w:rPr>
                <w:b/>
              </w:rPr>
              <w:t xml:space="preserve">ili </w:t>
            </w:r>
          </w:p>
          <w:p w:rsid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Smrtni list roditelja </w:t>
            </w:r>
          </w:p>
          <w:p w:rsidR="006E4776" w:rsidRP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776">
              <w:rPr>
                <w:b/>
              </w:rPr>
              <w:t xml:space="preserve">ili </w:t>
            </w:r>
          </w:p>
          <w:p w:rsidR="00975E75" w:rsidRPr="006E4776" w:rsidRDefault="006E4776" w:rsidP="006E4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Izvadak iz matice umrlih</w:t>
            </w:r>
          </w:p>
        </w:tc>
      </w:tr>
      <w:tr w:rsidR="00975E75" w:rsidRPr="00975E75" w:rsidTr="00540AE4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:rsidR="006E4776" w:rsidRDefault="006E4776" w:rsidP="00540AE4">
            <w:pPr>
              <w:pStyle w:val="Odlomakpopisa"/>
              <w:numPr>
                <w:ilvl w:val="0"/>
                <w:numId w:val="24"/>
              </w:numPr>
              <w:shd w:val="clear" w:color="auto" w:fill="FFFFFF"/>
              <w:ind w:left="313" w:hanging="284"/>
              <w:jc w:val="both"/>
            </w:pPr>
            <w:r>
              <w:lastRenderedPageBreak/>
      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      </w:r>
            <w:proofErr w:type="spellStart"/>
            <w:r>
              <w:t>jednoroditeljskih</w:t>
            </w:r>
            <w:proofErr w:type="spellEnd"/>
            <w:r>
              <w:t xml:space="preserve"> obitelj</w:t>
            </w:r>
          </w:p>
          <w:p w:rsidR="00975E75" w:rsidRPr="006E4776" w:rsidRDefault="00975E75" w:rsidP="006E4776">
            <w:pPr>
              <w:ind w:left="360" w:firstLine="48"/>
              <w:jc w:val="both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5606" w:type="dxa"/>
          </w:tcPr>
          <w:p w:rsidR="00975E75" w:rsidRPr="006E4776" w:rsidRDefault="006E4776" w:rsidP="006E4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hr-HR"/>
              </w:rPr>
            </w:pPr>
            <w:r>
              <w:t>Mišljenje/Izjava školskog pedagoga, učitelja, ravnatelja škole, socijalnog radnika ili druge stručne osobe upućene u nepovoljne životne prilike učenika</w:t>
            </w:r>
          </w:p>
        </w:tc>
      </w:tr>
    </w:tbl>
    <w:p w:rsidR="00961922" w:rsidRPr="00975E75" w:rsidRDefault="00961922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5510D6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75E75">
        <w:rPr>
          <w:rFonts w:eastAsia="Times New Roman" w:cstheme="minorHAnsi"/>
          <w:b/>
          <w:color w:val="000000" w:themeColor="text1"/>
          <w:lang w:eastAsia="hr-HR"/>
        </w:rPr>
        <w:t xml:space="preserve">Članak </w:t>
      </w:r>
      <w:r w:rsidR="00961922" w:rsidRPr="00975E75">
        <w:rPr>
          <w:rFonts w:eastAsia="Times New Roman" w:cstheme="minorHAnsi"/>
          <w:b/>
          <w:color w:val="000000" w:themeColor="text1"/>
          <w:lang w:eastAsia="hr-HR"/>
        </w:rPr>
        <w:t>III.</w:t>
      </w:r>
    </w:p>
    <w:p w:rsidR="006334AE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</w:p>
    <w:p w:rsidR="004F424F" w:rsidRPr="00975E75" w:rsidRDefault="004F424F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 xml:space="preserve">Za djecu za koju se dokaže pripadnost najmanje jednom od navedenih kriterija pod člankom I. školska prehrana bit će organizirana na uobičajeni način podjele školske prehrane u Školi u skladu s načelima </w:t>
      </w:r>
      <w:r w:rsidRPr="00975E75">
        <w:rPr>
          <w:rFonts w:cstheme="minorHAnsi"/>
          <w:color w:val="000000" w:themeColor="text1"/>
        </w:rPr>
        <w:t>zabrane diskriminacije i jednakog postupanja.</w:t>
      </w:r>
    </w:p>
    <w:p w:rsidR="004F424F" w:rsidRPr="00975E75" w:rsidRDefault="004F424F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4F424F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75E75">
        <w:rPr>
          <w:rFonts w:eastAsia="Times New Roman" w:cstheme="minorHAnsi"/>
          <w:b/>
          <w:color w:val="000000" w:themeColor="text1"/>
          <w:lang w:eastAsia="hr-HR"/>
        </w:rPr>
        <w:t xml:space="preserve">Članak </w:t>
      </w:r>
      <w:r w:rsidR="004F424F" w:rsidRPr="00975E75">
        <w:rPr>
          <w:rFonts w:eastAsia="Times New Roman" w:cstheme="minorHAnsi"/>
          <w:b/>
          <w:color w:val="000000" w:themeColor="text1"/>
          <w:lang w:eastAsia="hr-HR"/>
        </w:rPr>
        <w:t>IV.</w:t>
      </w:r>
    </w:p>
    <w:p w:rsidR="006334AE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</w:p>
    <w:p w:rsidR="004F424F" w:rsidRPr="00975E75" w:rsidRDefault="004F424F" w:rsidP="006334AE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75E75">
        <w:rPr>
          <w:rFonts w:cstheme="minorHAnsi"/>
          <w:color w:val="000000" w:themeColor="text1"/>
        </w:rPr>
        <w:t xml:space="preserve">Škola će tijekom provedbe projekta </w:t>
      </w:r>
      <w:proofErr w:type="spellStart"/>
      <w:r w:rsidRPr="00975E75">
        <w:rPr>
          <w:rFonts w:cstheme="minorHAnsi"/>
          <w:color w:val="000000" w:themeColor="text1"/>
        </w:rPr>
        <w:t>Lunch</w:t>
      </w:r>
      <w:proofErr w:type="spellEnd"/>
      <w:r w:rsidRPr="00975E75">
        <w:rPr>
          <w:rFonts w:cstheme="minorHAnsi"/>
          <w:color w:val="000000" w:themeColor="text1"/>
        </w:rPr>
        <w:t xml:space="preserve"> box, faza I</w:t>
      </w:r>
      <w:r w:rsidR="00540AE4">
        <w:rPr>
          <w:rFonts w:cstheme="minorHAnsi"/>
          <w:color w:val="000000" w:themeColor="text1"/>
        </w:rPr>
        <w:t>V</w:t>
      </w:r>
      <w:r w:rsidRPr="00975E75">
        <w:rPr>
          <w:rFonts w:cstheme="minorHAnsi"/>
          <w:color w:val="000000" w:themeColor="text1"/>
        </w:rPr>
        <w:t xml:space="preserve">. voditi evidenciju svih korisnika školske prehrane iz koje je razvidan izvor financiranja za prehranu za svakog korisnika školske prehrane. </w:t>
      </w:r>
      <w:r w:rsidR="00975E75">
        <w:rPr>
          <w:rFonts w:cstheme="minorHAnsi"/>
          <w:color w:val="000000" w:themeColor="text1"/>
        </w:rPr>
        <w:t>Škola će također čuvati i pohraniti svu dokaznu dokumentaciju iz članka II. te ju odložiti i voditi na razuman i transparentan način.</w:t>
      </w:r>
    </w:p>
    <w:p w:rsidR="004F424F" w:rsidRPr="00975E75" w:rsidRDefault="004F424F" w:rsidP="006334AE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</w:p>
    <w:p w:rsidR="004F424F" w:rsidRPr="00975E75" w:rsidRDefault="006334AE" w:rsidP="006334AE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</w:rPr>
      </w:pPr>
      <w:r w:rsidRPr="00975E75">
        <w:rPr>
          <w:rFonts w:cstheme="minorHAnsi"/>
          <w:b/>
          <w:color w:val="000000" w:themeColor="text1"/>
        </w:rPr>
        <w:t xml:space="preserve">Članak </w:t>
      </w:r>
      <w:r w:rsidR="004F424F" w:rsidRPr="00975E75">
        <w:rPr>
          <w:rFonts w:cstheme="minorHAnsi"/>
          <w:b/>
          <w:color w:val="000000" w:themeColor="text1"/>
        </w:rPr>
        <w:t>V.</w:t>
      </w:r>
    </w:p>
    <w:p w:rsidR="006334AE" w:rsidRPr="00975E75" w:rsidRDefault="006334AE" w:rsidP="006334AE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</w:rPr>
      </w:pPr>
    </w:p>
    <w:p w:rsidR="004F424F" w:rsidRPr="00975E75" w:rsidRDefault="004F424F" w:rsidP="006334A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75E75">
        <w:rPr>
          <w:rFonts w:cstheme="minorHAnsi"/>
          <w:color w:val="000000" w:themeColor="text1"/>
        </w:rPr>
        <w:t xml:space="preserve">Škola će voditi evidenciju svih korisnika školske prehrane i podijeljenih obroka financiranih </w:t>
      </w:r>
      <w:r w:rsidR="006334AE" w:rsidRPr="00975E75">
        <w:rPr>
          <w:rFonts w:cstheme="minorHAnsi"/>
          <w:color w:val="000000" w:themeColor="text1"/>
        </w:rPr>
        <w:t xml:space="preserve">kroz projekt </w:t>
      </w:r>
      <w:proofErr w:type="spellStart"/>
      <w:r w:rsidR="006334AE" w:rsidRPr="00975E75">
        <w:rPr>
          <w:rFonts w:cstheme="minorHAnsi"/>
          <w:color w:val="000000" w:themeColor="text1"/>
        </w:rPr>
        <w:t>Lunch</w:t>
      </w:r>
      <w:proofErr w:type="spellEnd"/>
      <w:r w:rsidR="006334AE" w:rsidRPr="00975E75">
        <w:rPr>
          <w:rFonts w:cstheme="minorHAnsi"/>
          <w:color w:val="000000" w:themeColor="text1"/>
        </w:rPr>
        <w:t xml:space="preserve"> box, faza I</w:t>
      </w:r>
      <w:r w:rsidR="00540AE4">
        <w:rPr>
          <w:rFonts w:cstheme="minorHAnsi"/>
          <w:color w:val="000000" w:themeColor="text1"/>
        </w:rPr>
        <w:t>V</w:t>
      </w:r>
      <w:r w:rsidR="006334AE" w:rsidRPr="00975E75">
        <w:rPr>
          <w:rFonts w:cstheme="minorHAnsi"/>
          <w:color w:val="000000" w:themeColor="text1"/>
        </w:rPr>
        <w:t xml:space="preserve">. </w:t>
      </w:r>
      <w:r w:rsidRPr="00975E75">
        <w:rPr>
          <w:rFonts w:cstheme="minorHAnsi"/>
          <w:color w:val="000000" w:themeColor="text1"/>
        </w:rPr>
        <w:t>na zadanom obrascu uz navođenje imena i prezimena korisnika školske prehrane, OIB, datuma kada je obrok konzumiran i broj</w:t>
      </w:r>
      <w:r w:rsidR="005523E7" w:rsidRPr="00975E75">
        <w:rPr>
          <w:rFonts w:cstheme="minorHAnsi"/>
          <w:color w:val="000000" w:themeColor="text1"/>
        </w:rPr>
        <w:t>a</w:t>
      </w:r>
      <w:r w:rsidRPr="00975E75">
        <w:rPr>
          <w:rFonts w:cstheme="minorHAnsi"/>
          <w:color w:val="000000" w:themeColor="text1"/>
        </w:rPr>
        <w:t xml:space="preserve"> obroka koji je konzumiran. </w:t>
      </w:r>
    </w:p>
    <w:p w:rsidR="004F424F" w:rsidRPr="00975E75" w:rsidRDefault="004F424F" w:rsidP="006334AE">
      <w:pPr>
        <w:pStyle w:val="Odlomakpopisa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:rsidR="004F424F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75E75">
        <w:rPr>
          <w:rFonts w:eastAsia="Times New Roman" w:cstheme="minorHAnsi"/>
          <w:b/>
          <w:color w:val="000000" w:themeColor="text1"/>
          <w:lang w:eastAsia="hr-HR"/>
        </w:rPr>
        <w:t xml:space="preserve">Članak </w:t>
      </w:r>
      <w:r w:rsidR="004F424F" w:rsidRPr="00975E75">
        <w:rPr>
          <w:rFonts w:eastAsia="Times New Roman" w:cstheme="minorHAnsi"/>
          <w:b/>
          <w:color w:val="000000" w:themeColor="text1"/>
          <w:lang w:eastAsia="hr-HR"/>
        </w:rPr>
        <w:t>V.</w:t>
      </w:r>
    </w:p>
    <w:p w:rsidR="006334AE" w:rsidRPr="00975E75" w:rsidRDefault="006334AE" w:rsidP="006334AE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</w:p>
    <w:p w:rsidR="006C735F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>Primjena ove odluke započinje s početkom školske godine dana</w:t>
      </w:r>
      <w:r w:rsidR="00975E75" w:rsidRPr="00975E7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40AE4">
        <w:rPr>
          <w:rFonts w:eastAsia="Times New Roman" w:cstheme="minorHAnsi"/>
          <w:color w:val="000000" w:themeColor="text1"/>
          <w:lang w:eastAsia="hr-HR"/>
        </w:rPr>
        <w:t>9</w:t>
      </w:r>
      <w:r w:rsidR="00975E75" w:rsidRPr="00975E75">
        <w:rPr>
          <w:rFonts w:eastAsia="Times New Roman" w:cstheme="minorHAnsi"/>
          <w:color w:val="000000" w:themeColor="text1"/>
          <w:lang w:eastAsia="hr-HR"/>
        </w:rPr>
        <w:t>.</w:t>
      </w:r>
      <w:r w:rsidR="004F424F" w:rsidRPr="00975E75">
        <w:rPr>
          <w:rFonts w:eastAsia="Times New Roman" w:cstheme="minorHAnsi"/>
          <w:color w:val="000000" w:themeColor="text1"/>
          <w:lang w:eastAsia="hr-HR"/>
        </w:rPr>
        <w:t xml:space="preserve"> rujna 201</w:t>
      </w:r>
      <w:r w:rsidR="00540AE4">
        <w:rPr>
          <w:rFonts w:eastAsia="Times New Roman" w:cstheme="minorHAnsi"/>
          <w:color w:val="000000" w:themeColor="text1"/>
          <w:lang w:eastAsia="hr-HR"/>
        </w:rPr>
        <w:t>9</w:t>
      </w:r>
      <w:r w:rsidR="004F424F" w:rsidRPr="00975E75">
        <w:rPr>
          <w:rFonts w:eastAsia="Times New Roman" w:cstheme="minorHAnsi"/>
          <w:color w:val="000000" w:themeColor="text1"/>
          <w:lang w:eastAsia="hr-HR"/>
        </w:rPr>
        <w:t>. godine</w:t>
      </w:r>
      <w:r w:rsidR="005510D6" w:rsidRPr="00975E75">
        <w:rPr>
          <w:rFonts w:eastAsia="Times New Roman" w:cstheme="minorHAnsi"/>
          <w:color w:val="000000" w:themeColor="text1"/>
          <w:lang w:eastAsia="hr-HR"/>
        </w:rPr>
        <w:t>.</w:t>
      </w:r>
    </w:p>
    <w:p w:rsidR="005510D6" w:rsidRPr="00975E75" w:rsidRDefault="005510D6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961922" w:rsidRPr="00975E75" w:rsidRDefault="005510D6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="00650C26" w:rsidRPr="00975E75">
        <w:rPr>
          <w:rFonts w:eastAsia="Times New Roman" w:cstheme="minorHAnsi"/>
          <w:color w:val="000000" w:themeColor="text1"/>
          <w:lang w:eastAsia="hr-HR"/>
        </w:rPr>
        <w:tab/>
      </w:r>
    </w:p>
    <w:p w:rsidR="006334AE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>KLASA:</w:t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  <w:r w:rsidR="009F698B">
        <w:rPr>
          <w:rFonts w:eastAsia="Times New Roman" w:cstheme="minorHAnsi"/>
          <w:color w:val="000000" w:themeColor="text1"/>
          <w:lang w:eastAsia="hr-HR"/>
        </w:rPr>
        <w:t>602-02/19-01/356</w:t>
      </w:r>
    </w:p>
    <w:p w:rsidR="006334AE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>URBROJ:</w:t>
      </w:r>
      <w:r w:rsidR="009F698B">
        <w:rPr>
          <w:rFonts w:eastAsia="Times New Roman" w:cstheme="minorHAnsi"/>
          <w:color w:val="000000" w:themeColor="text1"/>
          <w:lang w:eastAsia="hr-HR"/>
        </w:rPr>
        <w:t>2178/01-19-01/357</w:t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</w:p>
    <w:p w:rsidR="006334AE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>U Slavonskom Brodu, dana</w:t>
      </w:r>
      <w:r w:rsidR="009F698B">
        <w:rPr>
          <w:rFonts w:eastAsia="Times New Roman" w:cstheme="minorHAnsi"/>
          <w:color w:val="000000" w:themeColor="text1"/>
          <w:lang w:eastAsia="hr-HR"/>
        </w:rPr>
        <w:t>,6.9</w:t>
      </w:r>
      <w:r w:rsidR="00540AE4">
        <w:rPr>
          <w:rFonts w:eastAsia="Times New Roman" w:cstheme="minorHAnsi"/>
          <w:color w:val="000000" w:themeColor="text1"/>
          <w:lang w:eastAsia="hr-HR"/>
        </w:rPr>
        <w:t>.</w:t>
      </w:r>
      <w:r w:rsidR="00975E75" w:rsidRPr="00975E75">
        <w:rPr>
          <w:rFonts w:eastAsia="Times New Roman" w:cstheme="minorHAnsi"/>
          <w:color w:val="000000" w:themeColor="text1"/>
          <w:lang w:eastAsia="hr-HR"/>
        </w:rPr>
        <w:t>2019</w:t>
      </w:r>
      <w:r w:rsidRPr="00975E75">
        <w:rPr>
          <w:rFonts w:eastAsia="Times New Roman" w:cstheme="minorHAnsi"/>
          <w:color w:val="000000" w:themeColor="text1"/>
          <w:lang w:eastAsia="hr-HR"/>
        </w:rPr>
        <w:t xml:space="preserve">. godine </w:t>
      </w:r>
      <w:r w:rsidRPr="00975E75">
        <w:rPr>
          <w:rFonts w:eastAsia="Times New Roman" w:cstheme="minorHAnsi"/>
          <w:color w:val="000000" w:themeColor="text1"/>
          <w:lang w:eastAsia="hr-HR"/>
        </w:rPr>
        <w:tab/>
      </w:r>
    </w:p>
    <w:p w:rsidR="006334AE" w:rsidRPr="00975E75" w:rsidRDefault="006334AE" w:rsidP="006334A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C27155" w:rsidRPr="00975E75" w:rsidRDefault="00C27155" w:rsidP="00C27155">
      <w:pPr>
        <w:spacing w:after="0" w:line="240" w:lineRule="auto"/>
        <w:ind w:left="4678" w:hanging="4678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color w:val="000000" w:themeColor="text1"/>
          <w:lang w:eastAsia="hr-HR"/>
        </w:rPr>
        <w:tab/>
      </w:r>
    </w:p>
    <w:p w:rsidR="006334AE" w:rsidRDefault="00540AE4" w:rsidP="00540AE4">
      <w:pPr>
        <w:spacing w:after="0" w:line="240" w:lineRule="auto"/>
        <w:ind w:left="4678" w:hanging="4678"/>
        <w:jc w:val="both"/>
        <w:rPr>
          <w:rFonts w:eastAsia="Times New Roman" w:cstheme="minorHAnsi"/>
          <w:color w:val="000000" w:themeColor="text1"/>
          <w:lang w:eastAsia="hr-HR"/>
        </w:rPr>
      </w:pPr>
      <w:r w:rsidRPr="00975E75">
        <w:rPr>
          <w:rFonts w:eastAsia="Times New Roman" w:cstheme="minorHAnsi"/>
          <w:noProof/>
          <w:color w:val="000000" w:themeColor="text1"/>
          <w:bdr w:val="none" w:sz="0" w:space="0" w:color="auto" w:frame="1"/>
          <w:lang w:eastAsia="hr-HR"/>
        </w:rPr>
        <w:drawing>
          <wp:anchor distT="0" distB="0" distL="114300" distR="114300" simplePos="0" relativeHeight="251669504" behindDoc="1" locked="0" layoutInCell="1" allowOverlap="1" wp14:anchorId="4A9EB285" wp14:editId="45336558">
            <wp:simplePos x="0" y="0"/>
            <wp:positionH relativeFrom="column">
              <wp:posOffset>4479925</wp:posOffset>
            </wp:positionH>
            <wp:positionV relativeFrom="paragraph">
              <wp:posOffset>1302385</wp:posOffset>
            </wp:positionV>
            <wp:extent cx="1905000" cy="523875"/>
            <wp:effectExtent l="0" t="0" r="0" b="9525"/>
            <wp:wrapNone/>
            <wp:docPr id="8" name="Slika 8" descr="mt_igno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_igno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E75">
        <w:rPr>
          <w:rFonts w:eastAsia="Times New Roman" w:cstheme="minorHAnsi"/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FFAF9" wp14:editId="245C23B6">
                <wp:simplePos x="0" y="0"/>
                <wp:positionH relativeFrom="margin">
                  <wp:align>right</wp:align>
                </wp:positionH>
                <wp:positionV relativeFrom="paragraph">
                  <wp:posOffset>1117600</wp:posOffset>
                </wp:positionV>
                <wp:extent cx="2329815" cy="276225"/>
                <wp:effectExtent l="0" t="0" r="0" b="952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7155" w:rsidRPr="001E3380" w:rsidRDefault="00C27155" w:rsidP="00C271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D5352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1E3380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bdr w:val="none" w:sz="0" w:space="0" w:color="auto" w:frame="1"/>
                                <w:lang w:eastAsia="hr-HR"/>
                              </w:rPr>
                              <w:t>Partner u pripremi i provedbi projekta</w:t>
                            </w:r>
                            <w:r w:rsidRPr="001E3380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bdr w:val="none" w:sz="0" w:space="0" w:color="auto" w:frame="1"/>
                                <w:lang w:eastAsia="hr-HR"/>
                              </w:rPr>
                              <w:br/>
                            </w:r>
                          </w:p>
                          <w:p w:rsidR="00C27155" w:rsidRDefault="00C27155" w:rsidP="00C27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FFAF9" id="Tekstni okvir 11" o:spid="_x0000_s1028" type="#_x0000_t202" style="position:absolute;left:0;text-align:left;margin-left:132.25pt;margin-top:88pt;width:183.45pt;height:21.7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" fillcolor="white [3201]" stroked="f" strokeweight=".5pt">
                <v:textbox>
                  <w:txbxContent>
                    <w:p w:rsidR="00C27155" w:rsidRPr="001E3380" w:rsidRDefault="00C27155" w:rsidP="00C271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D5352"/>
                          <w:sz w:val="18"/>
                          <w:szCs w:val="18"/>
                          <w:lang w:eastAsia="hr-HR"/>
                        </w:rPr>
                      </w:pPr>
                      <w:r w:rsidRPr="001E3380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bdr w:val="none" w:sz="0" w:space="0" w:color="auto" w:frame="1"/>
                          <w:lang w:eastAsia="hr-HR"/>
                        </w:rPr>
                        <w:t>Partner u pripremi i provedbi projekta</w:t>
                      </w:r>
                      <w:r w:rsidRPr="001E3380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bdr w:val="none" w:sz="0" w:space="0" w:color="auto" w:frame="1"/>
                          <w:lang w:eastAsia="hr-HR"/>
                        </w:rPr>
                        <w:br/>
                      </w:r>
                    </w:p>
                    <w:p w:rsidR="00C27155" w:rsidRDefault="00C27155" w:rsidP="00C27155"/>
                  </w:txbxContent>
                </v:textbox>
                <w10:wrap anchorx="margin"/>
              </v:shape>
            </w:pict>
          </mc:Fallback>
        </mc:AlternateContent>
      </w:r>
      <w:r w:rsidR="00C27155" w:rsidRPr="00975E75">
        <w:rPr>
          <w:rFonts w:eastAsia="Times New Roman" w:cstheme="minorHAnsi"/>
          <w:color w:val="000000" w:themeColor="text1"/>
          <w:lang w:eastAsia="hr-HR"/>
        </w:rPr>
        <w:tab/>
        <w:t>PREDSJED</w:t>
      </w:r>
      <w:r>
        <w:rPr>
          <w:rFonts w:eastAsia="Times New Roman" w:cstheme="minorHAnsi"/>
          <w:color w:val="000000" w:themeColor="text1"/>
          <w:lang w:eastAsia="hr-HR"/>
        </w:rPr>
        <w:t>NIK/PREDSJEDNICA ŠKOLSKOG ODBORA</w:t>
      </w:r>
    </w:p>
    <w:p w:rsidR="009F698B" w:rsidRPr="00975E75" w:rsidRDefault="009F698B" w:rsidP="00540AE4">
      <w:pPr>
        <w:spacing w:after="0" w:line="240" w:lineRule="auto"/>
        <w:ind w:left="4678" w:hanging="4678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                                                                                                     Zdenkom Marić </w:t>
      </w:r>
      <w:r w:rsidR="00DE25BE">
        <w:rPr>
          <w:rFonts w:eastAsia="Times New Roman" w:cstheme="minorHAnsi"/>
          <w:color w:val="000000" w:themeColor="text1"/>
          <w:lang w:eastAsia="hr-HR"/>
        </w:rPr>
        <w:t>,</w:t>
      </w:r>
      <w:proofErr w:type="spellStart"/>
      <w:r w:rsidR="00DE25BE">
        <w:rPr>
          <w:rFonts w:eastAsia="Times New Roman" w:cstheme="minorHAnsi"/>
          <w:color w:val="000000" w:themeColor="text1"/>
          <w:lang w:eastAsia="hr-HR"/>
        </w:rPr>
        <w:t>ing.prometa</w:t>
      </w:r>
      <w:proofErr w:type="spellEnd"/>
    </w:p>
    <w:sectPr w:rsidR="009F698B" w:rsidRPr="00975E75" w:rsidSect="00650C26">
      <w:footerReference w:type="default" r:id="rId15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E7" w:rsidRDefault="005D32E7" w:rsidP="00434408">
      <w:pPr>
        <w:spacing w:after="0" w:line="240" w:lineRule="auto"/>
      </w:pPr>
      <w:r>
        <w:separator/>
      </w:r>
    </w:p>
  </w:endnote>
  <w:endnote w:type="continuationSeparator" w:id="0">
    <w:p w:rsidR="005D32E7" w:rsidRDefault="005D32E7" w:rsidP="0043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50864"/>
      <w:docPartObj>
        <w:docPartGallery w:val="Page Numbers (Bottom of Page)"/>
        <w:docPartUnique/>
      </w:docPartObj>
    </w:sdtPr>
    <w:sdtEndPr/>
    <w:sdtContent>
      <w:p w:rsidR="00C27155" w:rsidRDefault="00C271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29">
          <w:rPr>
            <w:noProof/>
          </w:rPr>
          <w:t>1</w:t>
        </w:r>
        <w:r>
          <w:fldChar w:fldCharType="end"/>
        </w:r>
      </w:p>
    </w:sdtContent>
  </w:sdt>
  <w:p w:rsidR="00C27155" w:rsidRDefault="00C271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E7" w:rsidRDefault="005D32E7" w:rsidP="00434408">
      <w:pPr>
        <w:spacing w:after="0" w:line="240" w:lineRule="auto"/>
      </w:pPr>
      <w:r>
        <w:separator/>
      </w:r>
    </w:p>
  </w:footnote>
  <w:footnote w:type="continuationSeparator" w:id="0">
    <w:p w:rsidR="005D32E7" w:rsidRDefault="005D32E7" w:rsidP="0043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1AB"/>
    <w:multiLevelType w:val="hybridMultilevel"/>
    <w:tmpl w:val="E4648B7E"/>
    <w:lvl w:ilvl="0" w:tplc="EDE626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CDD"/>
    <w:multiLevelType w:val="multilevel"/>
    <w:tmpl w:val="18329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24B40"/>
    <w:multiLevelType w:val="hybridMultilevel"/>
    <w:tmpl w:val="205CAFBE"/>
    <w:lvl w:ilvl="0" w:tplc="B7F6F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864"/>
    <w:multiLevelType w:val="hybridMultilevel"/>
    <w:tmpl w:val="B83EDA0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676"/>
    <w:multiLevelType w:val="hybridMultilevel"/>
    <w:tmpl w:val="EF763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52CC"/>
    <w:multiLevelType w:val="hybridMultilevel"/>
    <w:tmpl w:val="3E4EB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58B9"/>
    <w:multiLevelType w:val="hybridMultilevel"/>
    <w:tmpl w:val="67A83636"/>
    <w:lvl w:ilvl="0" w:tplc="A2DE8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186D8E"/>
    <w:multiLevelType w:val="hybridMultilevel"/>
    <w:tmpl w:val="B2C23F96"/>
    <w:lvl w:ilvl="0" w:tplc="7BE4640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27EE1D89"/>
    <w:multiLevelType w:val="hybridMultilevel"/>
    <w:tmpl w:val="8174A508"/>
    <w:lvl w:ilvl="0" w:tplc="C6D46F7A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D72AF0"/>
    <w:multiLevelType w:val="hybridMultilevel"/>
    <w:tmpl w:val="00287B2C"/>
    <w:lvl w:ilvl="0" w:tplc="7C0A11A4">
      <w:start w:val="2"/>
      <w:numFmt w:val="decimal"/>
      <w:lvlText w:val="%1-"/>
      <w:lvlJc w:val="left"/>
      <w:pPr>
        <w:ind w:left="1080" w:hanging="360"/>
      </w:pPr>
      <w:rPr>
        <w:rFonts w:eastAsia="Times New Roman" w:cstheme="minorHAnsi" w:hint="default"/>
        <w:b w:val="0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C1320"/>
    <w:multiLevelType w:val="hybridMultilevel"/>
    <w:tmpl w:val="FFF28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6902"/>
    <w:multiLevelType w:val="hybridMultilevel"/>
    <w:tmpl w:val="5F4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0AB1"/>
    <w:multiLevelType w:val="hybridMultilevel"/>
    <w:tmpl w:val="3E4EB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0ACD"/>
    <w:multiLevelType w:val="hybridMultilevel"/>
    <w:tmpl w:val="21AC4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075CF"/>
    <w:multiLevelType w:val="hybridMultilevel"/>
    <w:tmpl w:val="A306C834"/>
    <w:lvl w:ilvl="0" w:tplc="1B1E99C4">
      <w:start w:val="1"/>
      <w:numFmt w:val="decimal"/>
      <w:lvlText w:val="(%1)"/>
      <w:lvlJc w:val="left"/>
      <w:pPr>
        <w:ind w:left="70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4B6B0121"/>
    <w:multiLevelType w:val="hybridMultilevel"/>
    <w:tmpl w:val="F24CF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C18B2"/>
    <w:multiLevelType w:val="hybridMultilevel"/>
    <w:tmpl w:val="3A64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A2D7C"/>
    <w:multiLevelType w:val="multilevel"/>
    <w:tmpl w:val="C63EB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E84306"/>
    <w:multiLevelType w:val="hybridMultilevel"/>
    <w:tmpl w:val="0706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51A3A"/>
    <w:multiLevelType w:val="hybridMultilevel"/>
    <w:tmpl w:val="50206620"/>
    <w:lvl w:ilvl="0" w:tplc="C8FCE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D2127"/>
    <w:multiLevelType w:val="hybridMultilevel"/>
    <w:tmpl w:val="D7F43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E208E"/>
    <w:multiLevelType w:val="hybridMultilevel"/>
    <w:tmpl w:val="F24CF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F6B"/>
    <w:multiLevelType w:val="hybridMultilevel"/>
    <w:tmpl w:val="0E484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E4A"/>
    <w:multiLevelType w:val="hybridMultilevel"/>
    <w:tmpl w:val="50206620"/>
    <w:lvl w:ilvl="0" w:tplc="C8FCE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20"/>
  </w:num>
  <w:num w:numId="10">
    <w:abstractNumId w:val="5"/>
  </w:num>
  <w:num w:numId="11">
    <w:abstractNumId w:val="12"/>
  </w:num>
  <w:num w:numId="12">
    <w:abstractNumId w:val="16"/>
  </w:num>
  <w:num w:numId="13">
    <w:abstractNumId w:val="18"/>
  </w:num>
  <w:num w:numId="14">
    <w:abstractNumId w:val="4"/>
  </w:num>
  <w:num w:numId="15">
    <w:abstractNumId w:val="22"/>
  </w:num>
  <w:num w:numId="16">
    <w:abstractNumId w:val="10"/>
  </w:num>
  <w:num w:numId="17">
    <w:abstractNumId w:val="15"/>
  </w:num>
  <w:num w:numId="18">
    <w:abstractNumId w:val="21"/>
  </w:num>
  <w:num w:numId="19">
    <w:abstractNumId w:val="2"/>
  </w:num>
  <w:num w:numId="20">
    <w:abstractNumId w:val="19"/>
  </w:num>
  <w:num w:numId="21">
    <w:abstractNumId w:val="23"/>
  </w:num>
  <w:num w:numId="22">
    <w:abstractNumId w:val="9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2"/>
    <w:rsid w:val="00020A80"/>
    <w:rsid w:val="000221AB"/>
    <w:rsid w:val="00072268"/>
    <w:rsid w:val="000B6EE3"/>
    <w:rsid w:val="000C5EA3"/>
    <w:rsid w:val="00115F8E"/>
    <w:rsid w:val="00132EAA"/>
    <w:rsid w:val="001366D4"/>
    <w:rsid w:val="002B5CD4"/>
    <w:rsid w:val="002D2141"/>
    <w:rsid w:val="002E0629"/>
    <w:rsid w:val="00423F17"/>
    <w:rsid w:val="00434408"/>
    <w:rsid w:val="004F424F"/>
    <w:rsid w:val="00540AE4"/>
    <w:rsid w:val="005510D6"/>
    <w:rsid w:val="005523E7"/>
    <w:rsid w:val="00571598"/>
    <w:rsid w:val="00585EB7"/>
    <w:rsid w:val="005D32E7"/>
    <w:rsid w:val="006334AE"/>
    <w:rsid w:val="00650C26"/>
    <w:rsid w:val="006927C5"/>
    <w:rsid w:val="006C735F"/>
    <w:rsid w:val="006E4776"/>
    <w:rsid w:val="006E6A0F"/>
    <w:rsid w:val="00710157"/>
    <w:rsid w:val="00830BE9"/>
    <w:rsid w:val="00877F99"/>
    <w:rsid w:val="00961922"/>
    <w:rsid w:val="0096557E"/>
    <w:rsid w:val="00975E75"/>
    <w:rsid w:val="009F698B"/>
    <w:rsid w:val="00A2170D"/>
    <w:rsid w:val="00A7629B"/>
    <w:rsid w:val="00AF58A5"/>
    <w:rsid w:val="00B31FD6"/>
    <w:rsid w:val="00B63B8C"/>
    <w:rsid w:val="00C27155"/>
    <w:rsid w:val="00C73E76"/>
    <w:rsid w:val="00C85929"/>
    <w:rsid w:val="00CB4F80"/>
    <w:rsid w:val="00DE25BE"/>
    <w:rsid w:val="00E43539"/>
    <w:rsid w:val="00EE17B3"/>
    <w:rsid w:val="00F86AB6"/>
    <w:rsid w:val="00F936D2"/>
    <w:rsid w:val="00FA3432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qFormat/>
    <w:rsid w:val="009655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34408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34408"/>
    <w:rPr>
      <w:rFonts w:eastAsiaTheme="minorEastAsia"/>
      <w:sz w:val="20"/>
      <w:szCs w:val="20"/>
      <w:lang w:eastAsia="zh-CN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unhideWhenUsed/>
    <w:rsid w:val="00434408"/>
    <w:rPr>
      <w:vertAlign w:val="superscript"/>
    </w:rPr>
  </w:style>
  <w:style w:type="character" w:customStyle="1" w:styleId="OdlomakpopisaChar">
    <w:name w:val="Odlomak popisa Char"/>
    <w:link w:val="Odlomakpopisa"/>
    <w:locked/>
    <w:rsid w:val="00434408"/>
  </w:style>
  <w:style w:type="paragraph" w:styleId="Bezproreda">
    <w:name w:val="No Spacing"/>
    <w:uiPriority w:val="1"/>
    <w:qFormat/>
    <w:rsid w:val="00E4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nd">
    <w:name w:val="hand"/>
    <w:basedOn w:val="Normal"/>
    <w:rsid w:val="00E43539"/>
    <w:pPr>
      <w:spacing w:after="0" w:line="240" w:lineRule="auto"/>
    </w:pPr>
    <w:rPr>
      <w:rFonts w:ascii="Buxton Sketch" w:hAnsi="Buxton Sketch" w:cs="Times New Roman"/>
      <w:color w:val="0070C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155"/>
  </w:style>
  <w:style w:type="paragraph" w:styleId="Podnoje">
    <w:name w:val="footer"/>
    <w:basedOn w:val="Normal"/>
    <w:link w:val="PodnojeChar"/>
    <w:uiPriority w:val="99"/>
    <w:unhideWhenUsed/>
    <w:rsid w:val="00C2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155"/>
  </w:style>
  <w:style w:type="table" w:styleId="Reetkatablice">
    <w:name w:val="Table Grid"/>
    <w:basedOn w:val="Obinatablica"/>
    <w:uiPriority w:val="59"/>
    <w:rsid w:val="0097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Obinatablica"/>
    <w:uiPriority w:val="41"/>
    <w:rsid w:val="00975E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Obinatablica"/>
    <w:uiPriority w:val="43"/>
    <w:rsid w:val="00975E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Obinatablica"/>
    <w:uiPriority w:val="47"/>
    <w:rsid w:val="00975E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975E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5">
    <w:name w:val="Plain Table 5"/>
    <w:basedOn w:val="Obinatablica"/>
    <w:uiPriority w:val="45"/>
    <w:rsid w:val="00975E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Obinatablica"/>
    <w:uiPriority w:val="40"/>
    <w:rsid w:val="00975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qFormat/>
    <w:rsid w:val="009655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34408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34408"/>
    <w:rPr>
      <w:rFonts w:eastAsiaTheme="minorEastAsia"/>
      <w:sz w:val="20"/>
      <w:szCs w:val="20"/>
      <w:lang w:eastAsia="zh-CN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unhideWhenUsed/>
    <w:rsid w:val="00434408"/>
    <w:rPr>
      <w:vertAlign w:val="superscript"/>
    </w:rPr>
  </w:style>
  <w:style w:type="character" w:customStyle="1" w:styleId="OdlomakpopisaChar">
    <w:name w:val="Odlomak popisa Char"/>
    <w:link w:val="Odlomakpopisa"/>
    <w:locked/>
    <w:rsid w:val="00434408"/>
  </w:style>
  <w:style w:type="paragraph" w:styleId="Bezproreda">
    <w:name w:val="No Spacing"/>
    <w:uiPriority w:val="1"/>
    <w:qFormat/>
    <w:rsid w:val="00E4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nd">
    <w:name w:val="hand"/>
    <w:basedOn w:val="Normal"/>
    <w:rsid w:val="00E43539"/>
    <w:pPr>
      <w:spacing w:after="0" w:line="240" w:lineRule="auto"/>
    </w:pPr>
    <w:rPr>
      <w:rFonts w:ascii="Buxton Sketch" w:hAnsi="Buxton Sketch" w:cs="Times New Roman"/>
      <w:color w:val="0070C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155"/>
  </w:style>
  <w:style w:type="paragraph" w:styleId="Podnoje">
    <w:name w:val="footer"/>
    <w:basedOn w:val="Normal"/>
    <w:link w:val="PodnojeChar"/>
    <w:uiPriority w:val="99"/>
    <w:unhideWhenUsed/>
    <w:rsid w:val="00C2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155"/>
  </w:style>
  <w:style w:type="table" w:styleId="Reetkatablice">
    <w:name w:val="Table Grid"/>
    <w:basedOn w:val="Obinatablica"/>
    <w:uiPriority w:val="59"/>
    <w:rsid w:val="0097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Obinatablica"/>
    <w:uiPriority w:val="41"/>
    <w:rsid w:val="00975E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Obinatablica"/>
    <w:uiPriority w:val="43"/>
    <w:rsid w:val="00975E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Obinatablica"/>
    <w:uiPriority w:val="47"/>
    <w:rsid w:val="00975E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975E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5">
    <w:name w:val="Plain Table 5"/>
    <w:basedOn w:val="Obinatablica"/>
    <w:uiPriority w:val="45"/>
    <w:rsid w:val="00975E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Obinatablica"/>
    <w:uiPriority w:val="40"/>
    <w:rsid w:val="00975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-sb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lavonski-brod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Silvana</cp:lastModifiedBy>
  <cp:revision>2</cp:revision>
  <cp:lastPrinted>2019-09-16T09:21:00Z</cp:lastPrinted>
  <dcterms:created xsi:type="dcterms:W3CDTF">2019-09-16T09:26:00Z</dcterms:created>
  <dcterms:modified xsi:type="dcterms:W3CDTF">2019-09-16T09:26:00Z</dcterms:modified>
</cp:coreProperties>
</file>